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5C0A8B" w:rsidRDefault="00AB0E47" w:rsidP="005C0A8B">
      <w:pPr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-127000</wp:posOffset>
                </wp:positionV>
                <wp:extent cx="3216910" cy="1372235"/>
                <wp:effectExtent l="13970" t="12700" r="7620" b="571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6910" cy="1372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4AAB" w:rsidRPr="005C0A8B" w:rsidRDefault="00B44AAB" w:rsidP="005C0A8B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5C0A8B">
                              <w:rPr>
                                <w:b/>
                                <w:sz w:val="36"/>
                                <w:szCs w:val="36"/>
                              </w:rPr>
                              <w:t>EC Declaration of Conformity</w:t>
                            </w:r>
                          </w:p>
                          <w:p w:rsidR="00B44AAB" w:rsidRDefault="00B44AAB" w:rsidP="005C0A8B"/>
                          <w:p w:rsidR="00B44AAB" w:rsidRPr="00193FCE" w:rsidRDefault="00B44AAB" w:rsidP="005C0A8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93FCE">
                              <w:rPr>
                                <w:sz w:val="28"/>
                                <w:szCs w:val="28"/>
                              </w:rPr>
                              <w:t>Morris &amp; Perry Ltd</w:t>
                            </w:r>
                          </w:p>
                          <w:p w:rsidR="00B44AAB" w:rsidRPr="00193FCE" w:rsidRDefault="00B44AAB" w:rsidP="005C0A8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93FCE">
                              <w:rPr>
                                <w:sz w:val="28"/>
                                <w:szCs w:val="28"/>
                              </w:rPr>
                              <w:t>Gurney Slade Quarry</w:t>
                            </w:r>
                          </w:p>
                          <w:p w:rsidR="00B44AAB" w:rsidRDefault="00B44AAB" w:rsidP="005C0A8B">
                            <w:r w:rsidRPr="00193FCE">
                              <w:rPr>
                                <w:sz w:val="28"/>
                                <w:szCs w:val="28"/>
                              </w:rPr>
                              <w:t>Radstock</w:t>
                            </w:r>
                          </w:p>
                          <w:p w:rsidR="00B44AAB" w:rsidRDefault="00B44AAB" w:rsidP="005C0A8B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.3pt;margin-top:-10pt;width:253.3pt;height:108.0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">
                <v:textbox style="mso-fit-shape-to-text:t">
                  <w:txbxContent>
                    <w:p w:rsidR="00B44AAB" w:rsidRPr="005C0A8B" w:rsidRDefault="00B44AAB" w:rsidP="005C0A8B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5C0A8B">
                        <w:rPr>
                          <w:b/>
                          <w:sz w:val="36"/>
                          <w:szCs w:val="36"/>
                        </w:rPr>
                        <w:t>EC Declaration of Conformity</w:t>
                      </w:r>
                    </w:p>
                    <w:p w:rsidR="00B44AAB" w:rsidRDefault="00B44AAB" w:rsidP="005C0A8B"/>
                    <w:p w:rsidR="00B44AAB" w:rsidRPr="00193FCE" w:rsidRDefault="00B44AAB" w:rsidP="005C0A8B">
                      <w:pPr>
                        <w:rPr>
                          <w:sz w:val="28"/>
                          <w:szCs w:val="28"/>
                        </w:rPr>
                      </w:pPr>
                      <w:r w:rsidRPr="00193FCE">
                        <w:rPr>
                          <w:sz w:val="28"/>
                          <w:szCs w:val="28"/>
                        </w:rPr>
                        <w:t>Morris &amp; Perry Ltd</w:t>
                      </w:r>
                    </w:p>
                    <w:p w:rsidR="00B44AAB" w:rsidRPr="00193FCE" w:rsidRDefault="00B44AAB" w:rsidP="005C0A8B">
                      <w:pPr>
                        <w:rPr>
                          <w:sz w:val="28"/>
                          <w:szCs w:val="28"/>
                        </w:rPr>
                      </w:pPr>
                      <w:r w:rsidRPr="00193FCE">
                        <w:rPr>
                          <w:sz w:val="28"/>
                          <w:szCs w:val="28"/>
                        </w:rPr>
                        <w:t>Gurney Slade Quarry</w:t>
                      </w:r>
                    </w:p>
                    <w:p w:rsidR="00B44AAB" w:rsidRDefault="00B44AAB" w:rsidP="005C0A8B">
                      <w:r w:rsidRPr="00193FCE">
                        <w:rPr>
                          <w:sz w:val="28"/>
                          <w:szCs w:val="28"/>
                        </w:rPr>
                        <w:t>Radstock</w:t>
                      </w:r>
                    </w:p>
                    <w:p w:rsidR="00B44AAB" w:rsidRDefault="00B44AAB" w:rsidP="005C0A8B"/>
                  </w:txbxContent>
                </v:textbox>
              </v:shape>
            </w:pict>
          </mc:Fallback>
        </mc:AlternateContent>
      </w:r>
      <w:r w:rsidR="005C0A8B">
        <w:tab/>
      </w:r>
      <w:r w:rsidR="005C0A8B">
        <w:tab/>
      </w:r>
      <w:r w:rsidR="005C0A8B">
        <w:tab/>
      </w:r>
      <w:r w:rsidR="005C0A8B">
        <w:tab/>
      </w:r>
      <w:r w:rsidR="005C0A8B">
        <w:tab/>
      </w:r>
      <w:r w:rsidR="005C0A8B">
        <w:tab/>
      </w:r>
      <w:r w:rsidR="005C0A8B">
        <w:tab/>
      </w:r>
      <w:r w:rsidR="005C0A8B">
        <w:tab/>
      </w:r>
      <w:r w:rsidR="005C0A8B">
        <w:tab/>
      </w:r>
      <w:r w:rsidR="005C0A8B" w:rsidRPr="005C0A8B">
        <w:rPr>
          <w:noProof/>
          <w:lang w:eastAsia="en-GB"/>
        </w:rPr>
        <w:drawing>
          <wp:inline distT="0" distB="0" distL="0" distR="0">
            <wp:extent cx="1513490" cy="1068193"/>
            <wp:effectExtent l="0" t="0" r="0" b="0"/>
            <wp:docPr id="1" name="il_fi" descr="http://ec.europa.eu/enterprise/faq/pic/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ec.europa.eu/enterprise/faq/pic/C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990" cy="1068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A8B" w:rsidRDefault="005C0A8B" w:rsidP="005C0A8B">
      <w:pPr>
        <w:jc w:val="both"/>
      </w:pPr>
    </w:p>
    <w:p w:rsidR="005C0A8B" w:rsidRDefault="005C0A8B" w:rsidP="005C0A8B">
      <w:pPr>
        <w:jc w:val="both"/>
      </w:pPr>
    </w:p>
    <w:p w:rsidR="005C0A8B" w:rsidRDefault="005C0A8B" w:rsidP="007028EF">
      <w:pPr>
        <w:spacing w:before="240"/>
        <w:jc w:val="both"/>
      </w:pPr>
      <w:r>
        <w:t xml:space="preserve">The above manufacturer (as represented by the undersigned) declares that the following product/s conform </w:t>
      </w:r>
      <w:r w:rsidR="00791D62">
        <w:t>to</w:t>
      </w:r>
      <w:r>
        <w:t xml:space="preserve"> the provisions</w:t>
      </w:r>
      <w:r w:rsidR="00791D62">
        <w:t xml:space="preserve"> of the EU Construction Products Directiv</w:t>
      </w:r>
      <w:r w:rsidR="00924802">
        <w:t>e, in accordance with Annex ZA</w:t>
      </w:r>
      <w:r w:rsidR="00791D62">
        <w:t xml:space="preserve"> </w:t>
      </w:r>
      <w:r w:rsidR="00B44AAB">
        <w:t>of BS EN 12620, current edition.</w:t>
      </w:r>
    </w:p>
    <w:p w:rsidR="00451514" w:rsidRDefault="00791D62" w:rsidP="007028EF">
      <w:pPr>
        <w:spacing w:before="240"/>
        <w:jc w:val="both"/>
      </w:pPr>
      <w:r w:rsidRPr="00451514">
        <w:rPr>
          <w:u w:val="single"/>
        </w:rPr>
        <w:t>Product description</w:t>
      </w:r>
      <w:r w:rsidR="00451514">
        <w:t>:</w:t>
      </w:r>
    </w:p>
    <w:p w:rsidR="00791D62" w:rsidRDefault="00451514" w:rsidP="007028EF">
      <w:pPr>
        <w:spacing w:before="240"/>
        <w:jc w:val="both"/>
      </w:pPr>
      <w:r>
        <w:t>Carboniferous Limestone</w:t>
      </w:r>
      <w:r w:rsidRPr="00451514">
        <w:t xml:space="preserve"> </w:t>
      </w:r>
      <w:r w:rsidR="007028EF">
        <w:t>(</w:t>
      </w:r>
      <w:r w:rsidR="006E5C50">
        <w:t>2/6, 4/10</w:t>
      </w:r>
      <w:r w:rsidR="00287C19">
        <w:t>, 4/20</w:t>
      </w:r>
      <w:r w:rsidR="006E5C50">
        <w:t xml:space="preserve"> &amp; 10/20 </w:t>
      </w:r>
      <w:r>
        <w:t xml:space="preserve">coarse </w:t>
      </w:r>
      <w:r w:rsidR="006E5C50">
        <w:t>single size)</w:t>
      </w:r>
      <w:r>
        <w:t xml:space="preserve"> Aggregates for Concrete</w:t>
      </w:r>
    </w:p>
    <w:p w:rsidR="00791D62" w:rsidRDefault="00791D62" w:rsidP="007028EF">
      <w:pPr>
        <w:spacing w:before="240"/>
        <w:jc w:val="both"/>
      </w:pPr>
      <w:r>
        <w:t>Coarse:</w:t>
      </w:r>
      <w:r>
        <w:tab/>
      </w:r>
      <w:r w:rsidR="001A5413">
        <w:tab/>
      </w:r>
      <w:r>
        <w:t xml:space="preserve">D/d </w:t>
      </w:r>
      <w:r>
        <w:rPr>
          <w:rFonts w:cstheme="minorHAnsi"/>
        </w:rPr>
        <w:t>≤</w:t>
      </w:r>
      <w:r>
        <w:t xml:space="preserve"> 2 or D </w:t>
      </w:r>
      <w:r w:rsidR="001A5413">
        <w:rPr>
          <w:rFonts w:cstheme="minorHAnsi"/>
        </w:rPr>
        <w:t>≤</w:t>
      </w:r>
      <w:r w:rsidR="001A5413">
        <w:t xml:space="preserve"> </w:t>
      </w:r>
      <w:r>
        <w:t xml:space="preserve">11,2 mm and D/d </w:t>
      </w:r>
      <w:r>
        <w:rPr>
          <w:rFonts w:cstheme="minorHAnsi"/>
        </w:rPr>
        <w:t>&gt;</w:t>
      </w:r>
      <w:r>
        <w:t xml:space="preserve"> 2 or D </w:t>
      </w:r>
      <w:r>
        <w:rPr>
          <w:rFonts w:cstheme="minorHAnsi"/>
        </w:rPr>
        <w:t>&gt;</w:t>
      </w:r>
      <w:r>
        <w:t>11,2 mm</w:t>
      </w:r>
      <w:r w:rsidR="001A5413">
        <w:t>, Category G</w:t>
      </w:r>
      <w:r w:rsidR="001A5413" w:rsidRPr="001A5413">
        <w:rPr>
          <w:vertAlign w:val="subscript"/>
        </w:rPr>
        <w:t>C</w:t>
      </w:r>
      <w:r w:rsidR="001A5413">
        <w:t xml:space="preserve">85/20 and </w:t>
      </w:r>
      <w:r w:rsidR="006E5C50">
        <w:t>G</w:t>
      </w:r>
      <w:r w:rsidR="006E5C50" w:rsidRPr="001A5413">
        <w:rPr>
          <w:vertAlign w:val="subscript"/>
        </w:rPr>
        <w:t>C</w:t>
      </w:r>
      <w:r w:rsidR="006E5C50">
        <w:t>90/15</w:t>
      </w:r>
    </w:p>
    <w:p w:rsidR="00770194" w:rsidRDefault="00770194" w:rsidP="007028EF">
      <w:pPr>
        <w:ind w:left="6480"/>
        <w:jc w:val="both"/>
      </w:pPr>
    </w:p>
    <w:p w:rsidR="007028EF" w:rsidRDefault="007028EF" w:rsidP="007028EF">
      <w:pPr>
        <w:jc w:val="both"/>
      </w:pPr>
      <w:r>
        <w:rPr>
          <w:b/>
        </w:rPr>
        <w:t>Particle shape</w:t>
      </w:r>
      <w:r w:rsidRPr="0070704E">
        <w:rPr>
          <w:b/>
        </w:rPr>
        <w:t xml:space="preserve">: </w:t>
      </w:r>
      <w:r>
        <w:tab/>
      </w:r>
      <w:r>
        <w:tab/>
      </w:r>
      <w:r>
        <w:tab/>
        <w:t xml:space="preserve"> Declared Value</w:t>
      </w:r>
      <w:r>
        <w:tab/>
      </w:r>
      <w:r>
        <w:tab/>
        <w:t>Fl</w:t>
      </w:r>
      <w:r>
        <w:rPr>
          <w:vertAlign w:val="subscript"/>
        </w:rPr>
        <w:t>15</w:t>
      </w:r>
      <w:r>
        <w:t xml:space="preserve"> </w:t>
      </w:r>
      <w:r>
        <w:tab/>
      </w:r>
    </w:p>
    <w:p w:rsidR="005D5F7A" w:rsidRDefault="007028EF" w:rsidP="007028EF">
      <w:pPr>
        <w:jc w:val="both"/>
      </w:pPr>
      <w:r>
        <w:rPr>
          <w:b/>
        </w:rPr>
        <w:t>Particle size</w:t>
      </w:r>
      <w:r w:rsidRPr="0070704E">
        <w:rPr>
          <w:b/>
        </w:rPr>
        <w:t xml:space="preserve">: </w:t>
      </w:r>
      <w:r>
        <w:tab/>
      </w:r>
      <w:r>
        <w:tab/>
      </w:r>
      <w:r>
        <w:tab/>
        <w:t xml:space="preserve"> Designation</w:t>
      </w:r>
      <w:r>
        <w:tab/>
      </w:r>
      <w:r>
        <w:tab/>
        <w:t>2/6, 4/10</w:t>
      </w:r>
      <w:r w:rsidR="007E2001">
        <w:t xml:space="preserve">, </w:t>
      </w:r>
      <w:r w:rsidR="005D5F7A">
        <w:t>6/14, 4/20, 10/20 &amp; 20/32mm</w:t>
      </w:r>
      <w:r>
        <w:t xml:space="preserve"> </w:t>
      </w:r>
    </w:p>
    <w:p w:rsidR="007028EF" w:rsidRDefault="005D5F7A" w:rsidP="007028E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028EF">
        <w:t>S/S Limestone</w:t>
      </w:r>
      <w:r w:rsidR="007028EF">
        <w:tab/>
      </w:r>
    </w:p>
    <w:p w:rsidR="007028EF" w:rsidRDefault="007028EF" w:rsidP="007028EF">
      <w:pPr>
        <w:jc w:val="both"/>
      </w:pPr>
      <w:r>
        <w:rPr>
          <w:b/>
        </w:rPr>
        <w:t>Particle density</w:t>
      </w:r>
      <w:r w:rsidRPr="0070704E">
        <w:rPr>
          <w:b/>
        </w:rPr>
        <w:t xml:space="preserve">: </w:t>
      </w:r>
      <w:r>
        <w:tab/>
      </w:r>
      <w:r>
        <w:tab/>
        <w:t xml:space="preserve"> Declared Value</w:t>
      </w:r>
      <w:r>
        <w:tab/>
      </w:r>
      <w:r>
        <w:tab/>
        <w:t>2.70 Mg/m</w:t>
      </w:r>
      <w:r w:rsidRPr="00B85887">
        <w:rPr>
          <w:vertAlign w:val="superscript"/>
        </w:rPr>
        <w:t>3</w:t>
      </w:r>
      <w:r>
        <w:t xml:space="preserve"> </w:t>
      </w:r>
      <w:r w:rsidR="001F0508">
        <w:t>Typical</w:t>
      </w:r>
      <w:r>
        <w:tab/>
      </w:r>
    </w:p>
    <w:p w:rsidR="007028EF" w:rsidRDefault="007028EF" w:rsidP="007028EF">
      <w:pPr>
        <w:jc w:val="both"/>
      </w:pPr>
      <w:r w:rsidRPr="0070704E">
        <w:rPr>
          <w:b/>
        </w:rPr>
        <w:t>C</w:t>
      </w:r>
      <w:r>
        <w:rPr>
          <w:b/>
        </w:rPr>
        <w:t>leanliness</w:t>
      </w:r>
      <w:r w:rsidRPr="0070704E">
        <w:rPr>
          <w:b/>
        </w:rPr>
        <w:t>:</w:t>
      </w:r>
      <w:r>
        <w:tab/>
        <w:t>Fines Quality</w:t>
      </w:r>
      <w:r>
        <w:tab/>
        <w:t>Pass</w:t>
      </w:r>
      <w:r>
        <w:tab/>
      </w:r>
      <w:r>
        <w:tab/>
      </w:r>
      <w:r>
        <w:tab/>
      </w:r>
    </w:p>
    <w:p w:rsidR="007028EF" w:rsidRDefault="007028EF" w:rsidP="007028EF">
      <w:pPr>
        <w:ind w:left="720" w:firstLine="720"/>
        <w:jc w:val="both"/>
      </w:pPr>
      <w:r>
        <w:t>Shell Content</w:t>
      </w:r>
      <w:r>
        <w:tab/>
        <w:t>Pass</w:t>
      </w:r>
      <w:r>
        <w:tab/>
      </w:r>
      <w:r>
        <w:tab/>
        <w:t xml:space="preserve">    </w:t>
      </w:r>
      <w:r>
        <w:tab/>
        <w:t>SC</w:t>
      </w:r>
      <w:r w:rsidRPr="00B85887">
        <w:rPr>
          <w:vertAlign w:val="subscript"/>
        </w:rPr>
        <w:t>10</w:t>
      </w:r>
    </w:p>
    <w:p w:rsidR="007028EF" w:rsidRDefault="007028EF" w:rsidP="007028EF">
      <w:pPr>
        <w:jc w:val="both"/>
      </w:pPr>
      <w:r>
        <w:rPr>
          <w:b/>
        </w:rPr>
        <w:t>Resistance to Fragmentation/</w:t>
      </w:r>
      <w:r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</w:p>
    <w:p w:rsidR="007028EF" w:rsidRPr="00B85887" w:rsidRDefault="007028EF" w:rsidP="007028EF">
      <w:pPr>
        <w:jc w:val="both"/>
      </w:pPr>
      <w:r w:rsidRPr="00B85887">
        <w:rPr>
          <w:b/>
        </w:rPr>
        <w:t>Crushing</w:t>
      </w:r>
      <w:r>
        <w:rPr>
          <w:b/>
        </w:rPr>
        <w:t>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LA</w:t>
      </w:r>
      <w:r w:rsidRPr="00B85887">
        <w:rPr>
          <w:vertAlign w:val="subscript"/>
        </w:rPr>
        <w:t>2</w:t>
      </w:r>
      <w:r>
        <w:rPr>
          <w:vertAlign w:val="subscript"/>
        </w:rPr>
        <w:t>5</w:t>
      </w:r>
    </w:p>
    <w:p w:rsidR="007028EF" w:rsidRDefault="007028EF" w:rsidP="007028EF">
      <w:pPr>
        <w:jc w:val="both"/>
      </w:pPr>
      <w:r>
        <w:rPr>
          <w:b/>
        </w:rPr>
        <w:t>Resistance to Polishing</w:t>
      </w:r>
      <w:r w:rsidRPr="0070704E">
        <w:rPr>
          <w:b/>
        </w:rPr>
        <w:t>:</w:t>
      </w:r>
      <w:r>
        <w:tab/>
      </w:r>
      <w:r>
        <w:tab/>
        <w:t xml:space="preserve"> </w:t>
      </w:r>
      <w:r>
        <w:tab/>
      </w:r>
      <w:r>
        <w:tab/>
      </w:r>
      <w:r>
        <w:tab/>
        <w:t>PSV</w:t>
      </w:r>
      <w:r w:rsidR="0048245B">
        <w:rPr>
          <w:vertAlign w:val="subscript"/>
        </w:rPr>
        <w:t>37</w:t>
      </w:r>
      <w:r>
        <w:t xml:space="preserve"> </w:t>
      </w:r>
    </w:p>
    <w:p w:rsidR="007028EF" w:rsidRDefault="007028EF" w:rsidP="007028EF">
      <w:pPr>
        <w:jc w:val="both"/>
      </w:pPr>
      <w:r>
        <w:rPr>
          <w:b/>
        </w:rPr>
        <w:t>Resistance to Wear</w:t>
      </w:r>
      <w:r w:rsidRPr="0070704E">
        <w:rPr>
          <w:b/>
        </w:rPr>
        <w:t>:</w:t>
      </w:r>
      <w:r>
        <w:tab/>
      </w:r>
      <w:r>
        <w:tab/>
      </w:r>
      <w:r>
        <w:tab/>
      </w:r>
      <w:r>
        <w:tab/>
      </w:r>
      <w:r>
        <w:tab/>
        <w:t>M</w:t>
      </w:r>
      <w:r w:rsidRPr="00B85887">
        <w:rPr>
          <w:vertAlign w:val="subscript"/>
        </w:rPr>
        <w:t>DE</w:t>
      </w:r>
      <w:r>
        <w:t>1</w:t>
      </w:r>
      <w:r w:rsidR="001F0508">
        <w:t>5</w:t>
      </w:r>
    </w:p>
    <w:p w:rsidR="007028EF" w:rsidRDefault="007028EF" w:rsidP="007028EF">
      <w:pPr>
        <w:jc w:val="both"/>
      </w:pPr>
      <w:r>
        <w:rPr>
          <w:b/>
        </w:rPr>
        <w:t>Composition/Content</w:t>
      </w:r>
      <w:r w:rsidRPr="0070704E">
        <w:rPr>
          <w:b/>
        </w:rPr>
        <w:t>:</w:t>
      </w:r>
      <w:r>
        <w:tab/>
      </w:r>
      <w:r>
        <w:tab/>
      </w:r>
    </w:p>
    <w:p w:rsidR="007028EF" w:rsidRDefault="007028EF" w:rsidP="007028EF">
      <w:pPr>
        <w:jc w:val="both"/>
      </w:pPr>
      <w:r>
        <w:tab/>
      </w:r>
      <w:r>
        <w:tab/>
        <w:t>Chlorides</w:t>
      </w:r>
      <w:r>
        <w:tab/>
      </w:r>
      <w:r>
        <w:tab/>
      </w:r>
      <w:r>
        <w:tab/>
      </w:r>
      <w:r>
        <w:tab/>
        <w:t>&lt;0.01% C</w:t>
      </w:r>
    </w:p>
    <w:p w:rsidR="007028EF" w:rsidRDefault="007028EF" w:rsidP="007028EF">
      <w:pPr>
        <w:jc w:val="both"/>
      </w:pPr>
      <w:r>
        <w:tab/>
      </w:r>
      <w:r>
        <w:tab/>
        <w:t>Acid soluble sulphates</w:t>
      </w:r>
      <w:r>
        <w:tab/>
      </w:r>
      <w:r>
        <w:tab/>
      </w:r>
      <w:r>
        <w:tab/>
        <w:t>AS</w:t>
      </w:r>
      <w:r w:rsidRPr="009C25FE">
        <w:rPr>
          <w:vertAlign w:val="subscript"/>
        </w:rPr>
        <w:t>0.</w:t>
      </w:r>
      <w:r>
        <w:rPr>
          <w:vertAlign w:val="subscript"/>
        </w:rPr>
        <w:t>2</w:t>
      </w:r>
      <w:r w:rsidR="00722D19">
        <w:rPr>
          <w:vertAlign w:val="subscript"/>
        </w:rPr>
        <w:t xml:space="preserve"> </w:t>
      </w:r>
    </w:p>
    <w:p w:rsidR="00E467B8" w:rsidRDefault="007028EF" w:rsidP="00E467B8">
      <w:pPr>
        <w:jc w:val="both"/>
      </w:pPr>
      <w:r>
        <w:tab/>
      </w:r>
      <w:r>
        <w:tab/>
        <w:t>Water soluble sulphates</w:t>
      </w:r>
      <w:r>
        <w:tab/>
      </w:r>
      <w:r>
        <w:tab/>
        <w:t>SS</w:t>
      </w:r>
      <w:r w:rsidRPr="009C25FE">
        <w:rPr>
          <w:vertAlign w:val="subscript"/>
        </w:rPr>
        <w:t>0.</w:t>
      </w:r>
      <w:r>
        <w:rPr>
          <w:vertAlign w:val="subscript"/>
        </w:rPr>
        <w:t>2</w:t>
      </w:r>
      <w:r w:rsidR="00E467B8" w:rsidRPr="00E467B8">
        <w:t xml:space="preserve"> </w:t>
      </w:r>
    </w:p>
    <w:p w:rsidR="007028EF" w:rsidRDefault="007028EF" w:rsidP="007028EF">
      <w:pPr>
        <w:ind w:left="720" w:firstLine="720"/>
        <w:jc w:val="both"/>
      </w:pPr>
      <w:r>
        <w:t>Total sulphur</w:t>
      </w:r>
      <w:r>
        <w:tab/>
      </w:r>
      <w:r>
        <w:tab/>
      </w:r>
      <w:r>
        <w:tab/>
      </w:r>
      <w:r>
        <w:tab/>
        <w:t>&lt;1.0% S</w:t>
      </w:r>
    </w:p>
    <w:p w:rsidR="007028EF" w:rsidRDefault="007028EF" w:rsidP="007028EF">
      <w:pPr>
        <w:jc w:val="both"/>
      </w:pPr>
      <w:r>
        <w:tab/>
      </w:r>
      <w:r>
        <w:tab/>
        <w:t>Rate of Hardening (Humus)</w:t>
      </w:r>
      <w:r>
        <w:tab/>
      </w:r>
      <w:r>
        <w:tab/>
        <w:t xml:space="preserve"> Negative</w:t>
      </w:r>
    </w:p>
    <w:p w:rsidR="007028EF" w:rsidRPr="009C25FE" w:rsidRDefault="007028EF" w:rsidP="007028EF">
      <w:pPr>
        <w:jc w:val="both"/>
        <w:rPr>
          <w:vertAlign w:val="subscript"/>
        </w:rPr>
      </w:pPr>
      <w:r>
        <w:tab/>
      </w:r>
      <w:r>
        <w:tab/>
        <w:t>Carbonate content</w:t>
      </w:r>
      <w:r>
        <w:tab/>
      </w:r>
      <w:r>
        <w:tab/>
      </w:r>
      <w:r>
        <w:tab/>
        <w:t>&gt;90.0% CO</w:t>
      </w:r>
      <w:r w:rsidRPr="009C25FE">
        <w:rPr>
          <w:vertAlign w:val="subscript"/>
        </w:rPr>
        <w:t>2</w:t>
      </w:r>
    </w:p>
    <w:p w:rsidR="007028EF" w:rsidRDefault="007028EF" w:rsidP="007028EF">
      <w:pPr>
        <w:jc w:val="both"/>
      </w:pPr>
      <w:r>
        <w:rPr>
          <w:b/>
        </w:rPr>
        <w:t>Volume stability</w:t>
      </w:r>
      <w:r w:rsidRPr="0070704E">
        <w:rPr>
          <w:b/>
        </w:rPr>
        <w:t>:</w:t>
      </w:r>
      <w:r>
        <w:tab/>
      </w:r>
      <w:r>
        <w:tab/>
        <w:t>Drying Shrinkage</w:t>
      </w:r>
      <w:r>
        <w:tab/>
        <w:t>&lt;0.040% WS</w:t>
      </w:r>
    </w:p>
    <w:p w:rsidR="007028EF" w:rsidRDefault="007028EF" w:rsidP="007028EF">
      <w:pPr>
        <w:jc w:val="both"/>
        <w:rPr>
          <w:vertAlign w:val="superscript"/>
        </w:rPr>
      </w:pPr>
      <w:r>
        <w:rPr>
          <w:b/>
        </w:rPr>
        <w:t>Water Absorption</w:t>
      </w:r>
      <w:r w:rsidRPr="0070704E">
        <w:rPr>
          <w:b/>
        </w:rPr>
        <w:t>:</w:t>
      </w:r>
      <w:r>
        <w:tab/>
      </w:r>
      <w:r>
        <w:tab/>
      </w:r>
      <w:r>
        <w:tab/>
      </w:r>
      <w:r>
        <w:tab/>
      </w:r>
      <w:r>
        <w:tab/>
        <w:t>0.</w:t>
      </w:r>
      <w:r w:rsidR="0048245B">
        <w:t>7</w:t>
      </w:r>
      <w:r>
        <w:t>0% WA</w:t>
      </w:r>
    </w:p>
    <w:p w:rsidR="007028EF" w:rsidRDefault="007028EF" w:rsidP="007028EF">
      <w:pPr>
        <w:spacing w:line="360" w:lineRule="auto"/>
        <w:jc w:val="both"/>
      </w:pPr>
      <w:r>
        <w:rPr>
          <w:b/>
        </w:rPr>
        <w:t>Durability against ASR</w:t>
      </w:r>
      <w:r w:rsidRPr="0070704E">
        <w:rPr>
          <w:b/>
        </w:rPr>
        <w:t>:</w:t>
      </w:r>
      <w:r>
        <w:tab/>
      </w:r>
      <w:r>
        <w:tab/>
      </w:r>
      <w:r>
        <w:tab/>
      </w:r>
      <w:r>
        <w:tab/>
      </w:r>
      <w:r>
        <w:tab/>
        <w:t>Low Risk - Petrographic</w:t>
      </w:r>
    </w:p>
    <w:p w:rsidR="007028EF" w:rsidRDefault="007028EF" w:rsidP="007028EF">
      <w:pPr>
        <w:jc w:val="both"/>
      </w:pPr>
      <w:r w:rsidRPr="0070704E">
        <w:rPr>
          <w:b/>
        </w:rPr>
        <w:t>Durability against Freeze Thaw:</w:t>
      </w:r>
      <w:r>
        <w:tab/>
      </w:r>
      <w:r>
        <w:tab/>
      </w:r>
      <w:r>
        <w:tab/>
      </w:r>
      <w:r>
        <w:tab/>
        <w:t>M</w:t>
      </w:r>
      <w:r w:rsidR="0048245B">
        <w:t>S</w:t>
      </w:r>
      <w:r>
        <w:rPr>
          <w:vertAlign w:val="subscript"/>
        </w:rPr>
        <w:t>5</w:t>
      </w:r>
    </w:p>
    <w:p w:rsidR="007028EF" w:rsidRDefault="007028EF" w:rsidP="007028EF">
      <w:pPr>
        <w:rPr>
          <w:vertAlign w:val="subscript"/>
        </w:rPr>
      </w:pPr>
      <w:r>
        <w:rPr>
          <w:b/>
        </w:rPr>
        <w:t xml:space="preserve"> </w:t>
      </w:r>
    </w:p>
    <w:p w:rsidR="00451514" w:rsidRDefault="00451514" w:rsidP="007028EF">
      <w:pPr>
        <w:jc w:val="both"/>
      </w:pPr>
      <w:r>
        <w:t>T</w:t>
      </w:r>
      <w:r w:rsidR="006E5C50">
        <w:t>hese Aggregate products are compliant in accordance with the Assignation of Evaluation of Conformity under</w:t>
      </w:r>
      <w:r>
        <w:t xml:space="preserve"> System 4, Table ZA.</w:t>
      </w:r>
      <w:r w:rsidR="00D8687D">
        <w:t>2</w:t>
      </w:r>
      <w:r>
        <w:t>, of BS EN 12620, current edition.</w:t>
      </w:r>
    </w:p>
    <w:p w:rsidR="00237104" w:rsidRDefault="00237104" w:rsidP="005C0A8B">
      <w:pPr>
        <w:jc w:val="both"/>
      </w:pPr>
    </w:p>
    <w:p w:rsidR="005C0A8B" w:rsidRDefault="002752E9" w:rsidP="005C0A8B">
      <w:pPr>
        <w:jc w:val="both"/>
      </w:pPr>
      <w:r>
        <w:t>Full performance and usage applications detailed on specific</w:t>
      </w:r>
      <w:r w:rsidRPr="00032128">
        <w:rPr>
          <w:noProof/>
          <w:lang w:eastAsia="en-GB"/>
        </w:rPr>
        <w:drawing>
          <wp:inline distT="0" distB="0" distL="0" distR="0">
            <wp:extent cx="313099" cy="220980"/>
            <wp:effectExtent l="0" t="0" r="0" b="0"/>
            <wp:docPr id="2" name="il_fi" descr="http://ec.europa.eu/enterprise/faq/pic/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ec.europa.eu/enterprise/faq/pic/C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25" cy="222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data sheets.</w:t>
      </w:r>
    </w:p>
    <w:p w:rsidR="002752E9" w:rsidRDefault="002752E9" w:rsidP="005C0A8B">
      <w:pPr>
        <w:jc w:val="both"/>
      </w:pPr>
    </w:p>
    <w:p w:rsidR="005C0A8B" w:rsidRDefault="005C0A8B" w:rsidP="005C0A8B">
      <w:pPr>
        <w:jc w:val="both"/>
      </w:pPr>
    </w:p>
    <w:p w:rsidR="007028EF" w:rsidRDefault="00451514" w:rsidP="005C0A8B">
      <w:pPr>
        <w:jc w:val="both"/>
      </w:pPr>
      <w:r>
        <w:t>Signed:</w:t>
      </w:r>
      <w:r w:rsidR="007028EF">
        <w:tab/>
      </w:r>
      <w:r w:rsidR="007028EF">
        <w:tab/>
      </w:r>
      <w:r w:rsidR="007028EF">
        <w:tab/>
      </w:r>
      <w:r w:rsidR="007028EF">
        <w:tab/>
      </w:r>
      <w:r w:rsidR="007028EF">
        <w:tab/>
      </w:r>
      <w:r w:rsidR="007028EF">
        <w:tab/>
      </w:r>
    </w:p>
    <w:p w:rsidR="007028EF" w:rsidRDefault="007028EF" w:rsidP="005C0A8B">
      <w:pPr>
        <w:jc w:val="both"/>
      </w:pPr>
    </w:p>
    <w:p w:rsidR="007028EF" w:rsidRDefault="007028EF" w:rsidP="005C0A8B">
      <w:pPr>
        <w:jc w:val="both"/>
      </w:pPr>
    </w:p>
    <w:p w:rsidR="00451514" w:rsidRDefault="00451514" w:rsidP="005C0A8B">
      <w:pPr>
        <w:jc w:val="both"/>
      </w:pPr>
      <w:r>
        <w:t>General Manager</w:t>
      </w:r>
    </w:p>
    <w:sectPr w:rsidR="00451514" w:rsidSect="00770194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EE5" w:rsidRDefault="00E67EE5" w:rsidP="007F101F">
      <w:r>
        <w:separator/>
      </w:r>
    </w:p>
  </w:endnote>
  <w:endnote w:type="continuationSeparator" w:id="0">
    <w:p w:rsidR="00E67EE5" w:rsidRDefault="00E67EE5" w:rsidP="007F1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AAB" w:rsidRDefault="00B44AAB" w:rsidP="00B11C8A">
    <w:pPr>
      <w:pStyle w:val="Footer"/>
      <w:jc w:val="left"/>
    </w:pPr>
    <w:r>
      <w:t xml:space="preserve">Issued: </w:t>
    </w:r>
    <w:r w:rsidR="001F0508">
      <w:rPr>
        <w:sz w:val="20"/>
      </w:rPr>
      <w:t>MARCH 2018</w:t>
    </w:r>
    <w:r>
      <w:tab/>
    </w:r>
    <w:r>
      <w:tab/>
      <w:t>www.smorris.co.uk</w:t>
    </w:r>
  </w:p>
  <w:p w:rsidR="00B44AAB" w:rsidRPr="00B11C8A" w:rsidRDefault="00B44AAB" w:rsidP="00B11C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EE5" w:rsidRDefault="00E67EE5" w:rsidP="007F101F">
      <w:r>
        <w:separator/>
      </w:r>
    </w:p>
  </w:footnote>
  <w:footnote w:type="continuationSeparator" w:id="0">
    <w:p w:rsidR="00E67EE5" w:rsidRDefault="00E67EE5" w:rsidP="007F10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A8B"/>
    <w:rsid w:val="000B07A3"/>
    <w:rsid w:val="000D0EBA"/>
    <w:rsid w:val="000F0368"/>
    <w:rsid w:val="00165F15"/>
    <w:rsid w:val="00193FCE"/>
    <w:rsid w:val="001A5413"/>
    <w:rsid w:val="001F0508"/>
    <w:rsid w:val="00213D26"/>
    <w:rsid w:val="00237104"/>
    <w:rsid w:val="002752E9"/>
    <w:rsid w:val="00286875"/>
    <w:rsid w:val="00287C19"/>
    <w:rsid w:val="00387545"/>
    <w:rsid w:val="003C45E7"/>
    <w:rsid w:val="00451514"/>
    <w:rsid w:val="0048245B"/>
    <w:rsid w:val="004A7C1D"/>
    <w:rsid w:val="004C68BF"/>
    <w:rsid w:val="00525453"/>
    <w:rsid w:val="005C0A8B"/>
    <w:rsid w:val="005D5F7A"/>
    <w:rsid w:val="006266AF"/>
    <w:rsid w:val="006E5C50"/>
    <w:rsid w:val="007028EF"/>
    <w:rsid w:val="00722D19"/>
    <w:rsid w:val="00770194"/>
    <w:rsid w:val="00791D62"/>
    <w:rsid w:val="007E2001"/>
    <w:rsid w:val="007F101F"/>
    <w:rsid w:val="0080476E"/>
    <w:rsid w:val="008A1C89"/>
    <w:rsid w:val="008E52CD"/>
    <w:rsid w:val="00924802"/>
    <w:rsid w:val="00966AF1"/>
    <w:rsid w:val="009C5A5B"/>
    <w:rsid w:val="00A21173"/>
    <w:rsid w:val="00A57547"/>
    <w:rsid w:val="00AB0E47"/>
    <w:rsid w:val="00B11C8A"/>
    <w:rsid w:val="00B44AAB"/>
    <w:rsid w:val="00B45939"/>
    <w:rsid w:val="00B624E2"/>
    <w:rsid w:val="00BE2EF1"/>
    <w:rsid w:val="00C338DF"/>
    <w:rsid w:val="00C42CD3"/>
    <w:rsid w:val="00D007F5"/>
    <w:rsid w:val="00D04E48"/>
    <w:rsid w:val="00D11EA7"/>
    <w:rsid w:val="00D8687D"/>
    <w:rsid w:val="00E24A53"/>
    <w:rsid w:val="00E467B8"/>
    <w:rsid w:val="00E67EE5"/>
    <w:rsid w:val="00E93F62"/>
    <w:rsid w:val="00EF4066"/>
    <w:rsid w:val="00F4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7C3A0A-6BC0-4890-AD0B-58A958D68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1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0A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A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10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101F"/>
  </w:style>
  <w:style w:type="paragraph" w:styleId="Footer">
    <w:name w:val="footer"/>
    <w:basedOn w:val="Normal"/>
    <w:link w:val="FooterChar"/>
    <w:uiPriority w:val="99"/>
    <w:unhideWhenUsed/>
    <w:rsid w:val="007F10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1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 User</dc:creator>
  <cp:lastModifiedBy>Peter Bryant</cp:lastModifiedBy>
  <cp:revision>2</cp:revision>
  <cp:lastPrinted>2017-11-01T14:30:00Z</cp:lastPrinted>
  <dcterms:created xsi:type="dcterms:W3CDTF">2018-03-06T14:34:00Z</dcterms:created>
  <dcterms:modified xsi:type="dcterms:W3CDTF">2018-03-06T14:34:00Z</dcterms:modified>
</cp:coreProperties>
</file>